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1531"/>
        <w:gridCol w:w="1531"/>
        <w:gridCol w:w="572"/>
        <w:gridCol w:w="959"/>
        <w:gridCol w:w="931"/>
        <w:gridCol w:w="600"/>
        <w:gridCol w:w="1033"/>
        <w:gridCol w:w="498"/>
        <w:gridCol w:w="1439"/>
      </w:tblGrid>
      <w:tr w:rsidR="000964E5" w:rsidRPr="00E14DE1" w:rsidTr="00474270">
        <w:trPr>
          <w:trHeight w:val="1605"/>
          <w:jc w:val="center"/>
        </w:trPr>
        <w:tc>
          <w:tcPr>
            <w:tcW w:w="1066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964E5" w:rsidRPr="006F6A0A" w:rsidRDefault="000964E5" w:rsidP="000964E5">
            <w:pPr>
              <w:tabs>
                <w:tab w:val="center" w:pos="5212"/>
                <w:tab w:val="left" w:pos="7291"/>
              </w:tabs>
              <w:bidi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</w:rPr>
              <w:tab/>
              <w:t>بسمه تعالي</w:t>
            </w: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 xml:space="preserve">                      </w:t>
            </w: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ab/>
            </w:r>
            <w:r w:rsidRPr="006F6A0A">
              <w:rPr>
                <w:rFonts w:ascii="IranNastaliq" w:eastAsia="Calibri" w:hAnsi="IranNastaliq" w:cs="IranNastaliq"/>
                <w:b/>
                <w:bCs/>
                <w:sz w:val="24"/>
                <w:szCs w:val="24"/>
              </w:rPr>
              <w:t xml:space="preserve"> </w:t>
            </w:r>
          </w:p>
          <w:p w:rsidR="000964E5" w:rsidRPr="006F6A0A" w:rsidRDefault="000964E5" w:rsidP="006C74FD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 xml:space="preserve">صورت جلسه </w:t>
            </w:r>
            <w:r w:rsidR="00A5090A"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;</w:t>
            </w:r>
            <w:r w:rsidR="00A5090A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ک</w:t>
            </w:r>
            <w:r w:rsidR="006C74FD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ار گروه آموزش به بیمار     بخش  نفرولوژی</w:t>
            </w:r>
            <w:r w:rsidR="00A5090A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964E5" w:rsidRPr="00E14DE1" w:rsidRDefault="000964E5" w:rsidP="009C3772">
            <w:pPr>
              <w:bidi/>
              <w:rPr>
                <w:rFonts w:ascii="IranNastaliq" w:eastAsia="Calibri" w:hAnsi="IranNastaliq" w:cs="IranNastaliq"/>
                <w:b/>
                <w:bCs/>
                <w:sz w:val="20"/>
                <w:szCs w:val="20"/>
                <w:rtl/>
              </w:rPr>
            </w:pPr>
            <w:r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>تاريخ جلسه :</w:t>
            </w:r>
            <w:r w:rsidR="009C3772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17</w:t>
            </w:r>
            <w:bookmarkStart w:id="0" w:name="_GoBack"/>
            <w:bookmarkEnd w:id="0"/>
            <w:r w:rsidR="00AA4CCF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/0</w:t>
            </w:r>
            <w:r w:rsidR="005057D2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6</w:t>
            </w:r>
            <w:r w:rsidR="00AA4CCF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252AC8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1400</w:t>
            </w:r>
          </w:p>
        </w:tc>
      </w:tr>
      <w:tr w:rsidR="000964E5" w:rsidRPr="00E14DE1" w:rsidTr="00474270">
        <w:trPr>
          <w:trHeight w:val="441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0964E5" w:rsidRPr="00E14DE1" w:rsidRDefault="000964E5" w:rsidP="008941E6">
            <w:pPr>
              <w:bidi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دستور جلسه :</w:t>
            </w:r>
            <w:r w:rsidRPr="00E14DE1">
              <w:rPr>
                <w:rFonts w:ascii="IranNastaliq" w:eastAsia="Calibri" w:hAnsi="IranNastaliq" w:cs="IranNastaliq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A5090A"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 xml:space="preserve">معرفی و آشنایی با فعالیت های آموزش به بیمار بخش </w:t>
            </w:r>
            <w:r w:rsidR="008941E6"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نفرولوژی</w:t>
            </w:r>
            <w:r w:rsidR="00A5090A"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 xml:space="preserve"> و بیان مشکلات</w:t>
            </w:r>
          </w:p>
        </w:tc>
      </w:tr>
      <w:tr w:rsidR="006237DC" w:rsidRPr="00E14DE1" w:rsidTr="000E66E6">
        <w:trPr>
          <w:trHeight w:val="4080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237DC" w:rsidRPr="006F6A0A" w:rsidRDefault="006237DC" w:rsidP="000964E5">
            <w:pPr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اعضاءحاضر در جلسه</w:t>
            </w:r>
            <w:r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:(</w:t>
            </w:r>
            <w:r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نام ونام خانوادگي</w:t>
            </w:r>
            <w:r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،</w:t>
            </w:r>
            <w:r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پست سازماني و</w:t>
            </w:r>
            <w:r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سمت</w:t>
            </w:r>
            <w:r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در جلسه</w:t>
            </w:r>
            <w:r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  <w:p w:rsidR="006237DC" w:rsidRPr="006F6A0A" w:rsidRDefault="000E66E6" w:rsidP="00D4769D">
            <w:pPr>
              <w:bidi/>
              <w:jc w:val="lowKashida"/>
              <w:rPr>
                <w:rFonts w:cs="B Mitra"/>
                <w:rtl/>
              </w:rPr>
            </w:pPr>
            <w:r w:rsidRPr="000E66E6">
              <w:rPr>
                <w:rFonts w:cs="B Mitra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56515</wp:posOffset>
                  </wp:positionV>
                  <wp:extent cx="2571750" cy="2705100"/>
                  <wp:effectExtent l="0" t="0" r="0" b="0"/>
                  <wp:wrapSquare wrapText="bothSides"/>
                  <wp:docPr id="1" name="Picture 1" descr="C:\Users\rezaiyeaa1\Desktop\WhatsApp Image 2021-09-18 at 11.12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zaiyeaa1\Desktop\WhatsApp Image 2021-09-18 at 11.12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7DC" w:rsidRPr="006F6A0A">
              <w:rPr>
                <w:rFonts w:cs="B Mitra" w:hint="cs"/>
                <w:rtl/>
              </w:rPr>
              <w:t xml:space="preserve">دکتر </w:t>
            </w:r>
            <w:r w:rsidR="00363330" w:rsidRPr="006F6A0A">
              <w:rPr>
                <w:rFonts w:cs="B Mitra" w:hint="cs"/>
                <w:rtl/>
              </w:rPr>
              <w:t>انوش آذرفر</w:t>
            </w:r>
            <w:r w:rsidR="006237DC" w:rsidRPr="006F6A0A">
              <w:rPr>
                <w:rFonts w:cs="B Mitra" w:hint="cs"/>
                <w:rtl/>
              </w:rPr>
              <w:t>(رئیس بخش)</w:t>
            </w:r>
            <w:r w:rsidR="00D4769D" w:rsidRPr="006F6A0A">
              <w:rPr>
                <w:rFonts w:cs="B Mitra" w:hint="cs"/>
                <w:rtl/>
              </w:rPr>
              <w:t xml:space="preserve"> </w:t>
            </w:r>
            <w:r w:rsidR="00AA4CCF" w:rsidRPr="006F6A0A">
              <w:rPr>
                <w:rFonts w:cs="B Mitra" w:hint="cs"/>
                <w:rtl/>
              </w:rPr>
              <w:t>آمنه رضایی (سوپروایزر آموزش سلامت)</w:t>
            </w:r>
          </w:p>
          <w:p w:rsidR="006237DC" w:rsidRPr="006F6A0A" w:rsidRDefault="006237DC" w:rsidP="00DC33C9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>خا</w:t>
            </w:r>
            <w:r w:rsidR="00A3652D" w:rsidRPr="006F6A0A">
              <w:rPr>
                <w:rFonts w:cs="B Mitra" w:hint="cs"/>
                <w:rtl/>
              </w:rPr>
              <w:t>ن</w:t>
            </w:r>
            <w:r w:rsidRPr="006F6A0A">
              <w:rPr>
                <w:rFonts w:cs="B Mitra" w:hint="cs"/>
                <w:rtl/>
              </w:rPr>
              <w:t xml:space="preserve">م </w:t>
            </w:r>
            <w:r w:rsidR="00DC33C9" w:rsidRPr="006F6A0A">
              <w:rPr>
                <w:rFonts w:cs="B Mitra" w:hint="cs"/>
                <w:rtl/>
              </w:rPr>
              <w:t>اعظم السادات مهذب</w:t>
            </w:r>
            <w:r w:rsidRPr="006F6A0A">
              <w:rPr>
                <w:rFonts w:cs="B Mitra" w:hint="cs"/>
                <w:rtl/>
              </w:rPr>
              <w:t>(سرپرستار بخش)</w:t>
            </w:r>
          </w:p>
          <w:p w:rsidR="006237DC" w:rsidRPr="006F6A0A" w:rsidRDefault="006237DC" w:rsidP="00363330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 xml:space="preserve">خانم </w:t>
            </w:r>
            <w:r w:rsidR="00363330" w:rsidRPr="006F6A0A">
              <w:rPr>
                <w:rFonts w:cs="B Mitra" w:hint="cs"/>
                <w:rtl/>
              </w:rPr>
              <w:t xml:space="preserve">زهراغنی آبادی </w:t>
            </w:r>
            <w:r w:rsidRPr="006F6A0A">
              <w:rPr>
                <w:rFonts w:cs="B Mitra" w:hint="cs"/>
                <w:rtl/>
              </w:rPr>
              <w:t>رابط آموزش به بیمار)</w:t>
            </w:r>
          </w:p>
          <w:p w:rsidR="00D4769D" w:rsidRPr="006F6A0A" w:rsidRDefault="00D4769D" w:rsidP="00D4769D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>آقای مالک</w:t>
            </w:r>
            <w:r w:rsidR="005057D2" w:rsidRPr="006F6A0A">
              <w:rPr>
                <w:rFonts w:cs="B Mitra" w:hint="cs"/>
                <w:rtl/>
              </w:rPr>
              <w:t>(کارشناس تغذیه)</w:t>
            </w:r>
          </w:p>
          <w:p w:rsidR="006237DC" w:rsidRPr="00E14DE1" w:rsidRDefault="006237DC" w:rsidP="006237DC">
            <w:pPr>
              <w:bidi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6237DC" w:rsidRPr="00E14DE1" w:rsidTr="006F6A0A">
        <w:trPr>
          <w:trHeight w:val="420"/>
          <w:jc w:val="center"/>
        </w:trPr>
        <w:tc>
          <w:tcPr>
            <w:tcW w:w="10667" w:type="dxa"/>
            <w:gridSpan w:val="10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37DC" w:rsidRPr="006F6A0A" w:rsidRDefault="006237DC" w:rsidP="006237DC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/>
                <w:rtl/>
              </w:rPr>
              <w:t>مطالب مطروحه:</w:t>
            </w:r>
          </w:p>
          <w:p w:rsidR="00AE3FFA" w:rsidRPr="006F6A0A" w:rsidRDefault="006237DC" w:rsidP="005057D2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 xml:space="preserve">جلسه با نام و یاد خدا شروع شد. در شروع جلسه 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توسط خانم </w:t>
            </w:r>
            <w:r w:rsidR="005057D2" w:rsidRPr="006F6A0A">
              <w:rPr>
                <w:rFonts w:ascii="Calibri" w:eastAsia="Calibri" w:hAnsi="Calibri" w:cs="B Mitra" w:hint="cs"/>
                <w:rtl/>
              </w:rPr>
              <w:t>غنی آبادی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 </w:t>
            </w:r>
            <w:r w:rsidRPr="006F6A0A">
              <w:rPr>
                <w:rFonts w:ascii="Calibri" w:eastAsia="Calibri" w:hAnsi="Calibri" w:cs="B Mitra" w:hint="cs"/>
                <w:rtl/>
              </w:rPr>
              <w:t>توضیحی در مورد نحوه ارائه و ثبت آمو</w:t>
            </w:r>
            <w:r w:rsidR="00AA4CCF" w:rsidRPr="006F6A0A">
              <w:rPr>
                <w:rFonts w:ascii="Calibri" w:eastAsia="Calibri" w:hAnsi="Calibri" w:cs="B Mitra" w:hint="cs"/>
                <w:rtl/>
              </w:rPr>
              <w:t>ز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ش به بیمار 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وعملکرد </w:t>
            </w:r>
            <w:r w:rsidR="005057D2" w:rsidRPr="006F6A0A">
              <w:rPr>
                <w:rFonts w:ascii="Calibri" w:eastAsia="Calibri" w:hAnsi="Calibri" w:cs="B Mitra" w:hint="cs"/>
                <w:rtl/>
              </w:rPr>
              <w:t xml:space="preserve">سه ماهه اول ودوم سال1400وهمچنین ارزیابی نیازهای آموزشی مشکلات آموزشی 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بخش </w:t>
            </w:r>
            <w:r w:rsidR="00DC33C9" w:rsidRPr="006F6A0A">
              <w:rPr>
                <w:rFonts w:ascii="Calibri" w:eastAsia="Calibri" w:hAnsi="Calibri" w:cs="B Mitra" w:hint="cs"/>
                <w:rtl/>
              </w:rPr>
              <w:t>نفرولوژی</w:t>
            </w:r>
            <w:r w:rsidR="00AE3FFA" w:rsidRPr="006F6A0A">
              <w:rPr>
                <w:rFonts w:ascii="Calibri" w:eastAsia="Calibri" w:hAnsi="Calibri" w:cs="B Mitra" w:hint="cs"/>
                <w:rtl/>
              </w:rPr>
              <w:t xml:space="preserve"> داده شد .</w:t>
            </w:r>
          </w:p>
          <w:p w:rsidR="00AA4CCF" w:rsidRPr="006F6A0A" w:rsidRDefault="006237DC" w:rsidP="00AE3FFA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 xml:space="preserve">فرم های آموزش به بیمار در </w:t>
            </w:r>
            <w:r w:rsidR="00AE3FFA" w:rsidRPr="006F6A0A">
              <w:rPr>
                <w:rFonts w:ascii="Calibri" w:eastAsia="Calibri" w:hAnsi="Calibri" w:cs="B Mitra" w:hint="cs"/>
                <w:rtl/>
              </w:rPr>
              <w:t xml:space="preserve">زمان بستری، و 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 در زمان ترخیص بررسی گردید</w:t>
            </w:r>
            <w:r w:rsidR="005057D2" w:rsidRPr="006F6A0A">
              <w:rPr>
                <w:rFonts w:ascii="Calibri" w:eastAsia="Calibri" w:hAnsi="Calibri" w:cs="B Mitra" w:hint="cs"/>
                <w:rtl/>
              </w:rPr>
              <w:t xml:space="preserve">به تفکیک آموزش وسهیم کردن سایرپرسنل درراستای </w:t>
            </w:r>
            <w:r w:rsidR="001C3EE5" w:rsidRPr="006F6A0A">
              <w:rPr>
                <w:rFonts w:ascii="Calibri" w:eastAsia="Calibri" w:hAnsi="Calibri" w:cs="B Mitra" w:hint="cs"/>
                <w:rtl/>
              </w:rPr>
              <w:t>ارائه موثر</w:t>
            </w:r>
            <w:r w:rsidR="005057D2" w:rsidRPr="006F6A0A">
              <w:rPr>
                <w:rFonts w:ascii="Calibri" w:eastAsia="Calibri" w:hAnsi="Calibri" w:cs="B Mitra" w:hint="cs"/>
                <w:rtl/>
              </w:rPr>
              <w:t>آموزش وایجادانگیزه بیشتردرپرسنل وبرگزاری بیشترجلسات آموزشی برای بیماران باتوجه به نیازهای آموزشی تاکیدشد.</w:t>
            </w:r>
          </w:p>
          <w:p w:rsidR="00AE3FFA" w:rsidRPr="006F6A0A" w:rsidRDefault="00AE3FFA" w:rsidP="00AE3FFA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>براساس نیازسنجی آموزشی صورت گرفته ازبیماران بستری طبق جدول ذیل به استحضاراساتیدرسید وبرنامه های ذیل تنظیم گردید</w:t>
            </w:r>
          </w:p>
          <w:p w:rsidR="00AE3FFA" w:rsidRPr="006F6A0A" w:rsidRDefault="00AE3FFA" w:rsidP="00AE3FFA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>تاکیدبه همکاران درراستای آموزش زمانبندی شده وتوجه به نیازبیماران واختصاص یکی ازهمکاران جهت چک فرم های آموزش</w:t>
            </w:r>
          </w:p>
          <w:p w:rsidR="00AE3FFA" w:rsidRPr="006F6A0A" w:rsidRDefault="00AE3FFA" w:rsidP="00AE3FFA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>برگزاری جلسات آموزشی حضوری باکارشناس تغذیه</w:t>
            </w:r>
          </w:p>
          <w:p w:rsidR="00AE3FFA" w:rsidRPr="006F6A0A" w:rsidRDefault="00AE3FFA" w:rsidP="00AE3FFA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تهیه فایل آموزشی صوتی درزمینه </w:t>
            </w:r>
            <w:r w:rsidR="00314A63"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خود مراقبتی </w:t>
            </w: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تب </w:t>
            </w:r>
            <w:r w:rsidR="00314A63"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 در کووید</w:t>
            </w: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جهت همکاران پرستاری</w:t>
            </w:r>
          </w:p>
          <w:p w:rsidR="00AE3FFA" w:rsidRPr="006F6A0A" w:rsidRDefault="00AE3FFA" w:rsidP="00AE3FFA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تاکیدبرراهنمایی بیماران جهت آشنایی بامراحل پذیرش ترخیص توسط کادرپرستاری ومنشی بخش وارجاع</w:t>
            </w:r>
            <w:r w:rsidRPr="006F6A0A">
              <w:rPr>
                <w:rFonts w:ascii="Calibri" w:eastAsia="Calibri" w:hAnsi="Calibri" w:cs="B Mitra"/>
                <w:sz w:val="24"/>
                <w:szCs w:val="24"/>
              </w:rPr>
              <w:t xml:space="preserve"> </w:t>
            </w: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به مددکار</w:t>
            </w:r>
          </w:p>
          <w:p w:rsidR="0043350A" w:rsidRPr="006F6A0A" w:rsidRDefault="0043350A" w:rsidP="0043350A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-مشاوره بیماران توسط کارشناس روانشناسی به اطلاع اساتیدرسیدبرارائه گزارش عملکرد ونتایج مشاوره تاکیدشد.</w:t>
            </w:r>
          </w:p>
          <w:p w:rsidR="004360E2" w:rsidRPr="006F6A0A" w:rsidRDefault="004360E2" w:rsidP="004360E2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</w:p>
          <w:p w:rsidR="006237DC" w:rsidRPr="006F6A0A" w:rsidRDefault="00F552E5" w:rsidP="001C3EE5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proofErr w:type="spellStart"/>
            <w:r w:rsidRPr="006F6A0A">
              <w:rPr>
                <w:rFonts w:ascii="Calibri" w:eastAsia="Calibri" w:hAnsi="Calibri" w:cs="B Mitra"/>
              </w:rPr>
              <w:t>F</w:t>
            </w:r>
            <w:r w:rsidR="00AA4CCF" w:rsidRPr="006F6A0A">
              <w:rPr>
                <w:rFonts w:ascii="Calibri" w:eastAsia="Calibri" w:hAnsi="Calibri" w:cs="B Mitra"/>
              </w:rPr>
              <w:t>ollowup</w:t>
            </w:r>
            <w:proofErr w:type="spellEnd"/>
            <w:r w:rsidRPr="006F6A0A">
              <w:rPr>
                <w:rFonts w:ascii="Calibri" w:eastAsia="Calibri" w:hAnsi="Calibri" w:cs="B Mitra"/>
              </w:rPr>
              <w:t>-</w:t>
            </w:r>
            <w:r w:rsidR="00AA4CCF" w:rsidRPr="006F6A0A">
              <w:rPr>
                <w:rFonts w:ascii="Calibri" w:eastAsia="Calibri" w:hAnsi="Calibri" w:cs="B Mitra"/>
              </w:rPr>
              <w:t xml:space="preserve"> </w:t>
            </w:r>
            <w:r w:rsidR="00AA4CCF" w:rsidRPr="006F6A0A">
              <w:rPr>
                <w:rFonts w:ascii="Calibri" w:eastAsia="Calibri" w:hAnsi="Calibri" w:cs="B Mitra" w:hint="cs"/>
                <w:rtl/>
              </w:rPr>
              <w:t xml:space="preserve">در کلینیک خودمراقبتی که از بیماران به صورت تلفنی انجام میشود </w:t>
            </w:r>
            <w:r w:rsidR="001C3EE5" w:rsidRPr="006F6A0A">
              <w:rPr>
                <w:rFonts w:ascii="Calibri" w:eastAsia="Calibri" w:hAnsi="Calibri" w:cs="B Mitra" w:hint="cs"/>
                <w:rtl/>
              </w:rPr>
              <w:t>موردبررسی قرار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>گرفت</w:t>
            </w:r>
            <w:r w:rsidR="001C3EE5" w:rsidRPr="006F6A0A">
              <w:rPr>
                <w:rFonts w:ascii="Calibri" w:eastAsia="Calibri" w:hAnsi="Calibri" w:cs="B Mitra" w:hint="cs"/>
                <w:rtl/>
              </w:rPr>
              <w:t xml:space="preserve"> ونتایج به اطلاع اس</w:t>
            </w:r>
            <w:r w:rsidR="00F37720" w:rsidRPr="006F6A0A">
              <w:rPr>
                <w:rFonts w:ascii="Calibri" w:eastAsia="Calibri" w:hAnsi="Calibri" w:cs="B Mitra" w:hint="cs"/>
                <w:rtl/>
              </w:rPr>
              <w:t>اتیدحاضر</w:t>
            </w:r>
            <w:r w:rsidR="001C3EE5" w:rsidRPr="006F6A0A">
              <w:rPr>
                <w:rFonts w:ascii="Calibri" w:eastAsia="Calibri" w:hAnsi="Calibri" w:cs="B Mitra" w:hint="cs"/>
                <w:rtl/>
              </w:rPr>
              <w:t>رسید.</w:t>
            </w:r>
          </w:p>
          <w:p w:rsidR="00D000F9" w:rsidRPr="006F6A0A" w:rsidRDefault="0008541A" w:rsidP="009028C9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>باتوجه به استقبال ونیازبیماران وخانواده هابه تغذیه بی</w:t>
            </w:r>
            <w:r w:rsidR="009028C9" w:rsidRPr="006F6A0A">
              <w:rPr>
                <w:rFonts w:ascii="Calibri" w:eastAsia="Calibri" w:hAnsi="Calibri" w:cs="B Mitra" w:hint="cs"/>
                <w:rtl/>
              </w:rPr>
              <w:t>ماران کلیوی فعالیت های صورت گرفته وگر</w:t>
            </w:r>
            <w:r w:rsidRPr="006F6A0A">
              <w:rPr>
                <w:rFonts w:ascii="Calibri" w:eastAsia="Calibri" w:hAnsi="Calibri" w:cs="B Mitra" w:hint="cs"/>
                <w:rtl/>
              </w:rPr>
              <w:t>ارش نتایج توسط کارشناس ارشد تغذیه بیمارستان به اطلاع اساتیدرسید</w:t>
            </w:r>
            <w:r w:rsidR="00BE350D" w:rsidRPr="006F6A0A">
              <w:rPr>
                <w:rFonts w:ascii="Calibri" w:eastAsia="Calibri" w:hAnsi="Calibri" w:cs="B Mitra" w:hint="cs"/>
                <w:rtl/>
              </w:rPr>
              <w:t>و</w:t>
            </w:r>
            <w:r w:rsidRPr="006F6A0A">
              <w:rPr>
                <w:rFonts w:ascii="Calibri" w:eastAsia="Calibri" w:hAnsi="Calibri" w:cs="B Mitra" w:hint="cs"/>
                <w:rtl/>
              </w:rPr>
              <w:t>به لزوم مشاوره تغذیه بیماران تاکیدشد.</w:t>
            </w: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tbl>
            <w:tblPr>
              <w:tblStyle w:val="TableGrid"/>
              <w:bidiVisual/>
              <w:tblW w:w="9683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720"/>
              <w:gridCol w:w="892"/>
              <w:gridCol w:w="990"/>
              <w:gridCol w:w="1260"/>
              <w:gridCol w:w="1440"/>
              <w:gridCol w:w="1440"/>
              <w:gridCol w:w="990"/>
              <w:gridCol w:w="1005"/>
            </w:tblGrid>
            <w:tr w:rsidR="006F6A0A" w:rsidRPr="00E14DE1" w:rsidTr="006F6A0A">
              <w:trPr>
                <w:trHeight w:val="1079"/>
              </w:trPr>
              <w:tc>
                <w:tcPr>
                  <w:tcW w:w="946" w:type="dxa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نوع  بیماری</w:t>
                  </w:r>
                </w:p>
              </w:tc>
              <w:tc>
                <w:tcPr>
                  <w:tcW w:w="720" w:type="dxa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ترتیب اولویت</w:t>
                  </w:r>
                </w:p>
              </w:tc>
              <w:tc>
                <w:tcPr>
                  <w:tcW w:w="892" w:type="dxa"/>
                  <w:shd w:val="clear" w:color="auto" w:fill="FFC000"/>
                </w:tcPr>
                <w:p w:rsidR="006F6A0A" w:rsidRPr="00E14DE1" w:rsidRDefault="006F6A0A" w:rsidP="006F6A0A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نفروتیک</w:t>
                  </w:r>
                  <w:r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lang w:bidi="fa-IR"/>
                    </w:rPr>
                    <w:t xml:space="preserve"> </w:t>
                  </w: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مقاوم به درمان</w:t>
                  </w:r>
                </w:p>
              </w:tc>
              <w:tc>
                <w:tcPr>
                  <w:tcW w:w="990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ریفلاکس ادراری</w:t>
                  </w:r>
                </w:p>
              </w:tc>
              <w:tc>
                <w:tcPr>
                  <w:tcW w:w="1260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نارسایی کلیه</w:t>
                  </w:r>
                </w:p>
              </w:tc>
              <w:tc>
                <w:tcPr>
                  <w:tcW w:w="1440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پریتونیت</w:t>
                  </w:r>
                </w:p>
                <w:p w:rsidR="006F6A0A" w:rsidRPr="00E14DE1" w:rsidRDefault="006F6A0A" w:rsidP="00E14DE1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(دیالیزصفاقی)</w:t>
                  </w:r>
                </w:p>
              </w:tc>
              <w:tc>
                <w:tcPr>
                  <w:tcW w:w="1440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سنگ کلیه</w:t>
                  </w:r>
                </w:p>
              </w:tc>
              <w:tc>
                <w:tcPr>
                  <w:tcW w:w="990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عفونت ادراری</w:t>
                  </w:r>
                </w:p>
              </w:tc>
              <w:tc>
                <w:tcPr>
                  <w:tcW w:w="1005" w:type="dxa"/>
                  <w:shd w:val="clear" w:color="auto" w:fill="FFC000"/>
                </w:tcPr>
                <w:p w:rsidR="006F6A0A" w:rsidRPr="00E14DE1" w:rsidRDefault="006F6A0A" w:rsidP="00E14DE1">
                  <w:pPr>
                    <w:bidi/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مثانه نوروژنیک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 w:val="restart"/>
                  <w:textDirection w:val="btL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نیاز آموزشی بیمار</w:t>
                  </w: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رژیم غذایی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ind w:left="360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علائم هشدار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ind w:left="360"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آمادگی سنگ شکنی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ind w:left="360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علائم هشدار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ind w:left="360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نوع بیماری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نحوه مصرف داروها</w:t>
                  </w:r>
                </w:p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آمادگی داروهای تزریقی مواردمقاوم به درمان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جمع آوری سنگ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علایم هشدار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اقدامات تشخیصی </w:t>
                  </w: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 xml:space="preserve">مانند </w:t>
                  </w:r>
                  <w:r w:rsidRPr="00E14DE1"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  <w:t>VCUG</w:t>
                  </w: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>رژیم غذایی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ی مصرف داروومایع درمانی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اقدامات تشخ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اقدامات تشخیصی مانند بیوپسی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الگوی صحیح دفع ادرارونحوه صحیح نمونه گیری وانجام سونداژ</w:t>
                  </w:r>
                </w:p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انجام دیالیز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اقدامات تشخ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مانند:سونوگراف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مصرف دارو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مراقبتهای پس از ترخیص ومراجعه مجدد</w:t>
                  </w: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نحوه رعایت اصول استریل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پزشگ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رژ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غذا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پزشگ</w:t>
                  </w:r>
                </w:p>
              </w:tc>
            </w:tr>
            <w:tr w:rsidR="006F6A0A" w:rsidRPr="00E14DE1" w:rsidTr="006F6A0A">
              <w:tc>
                <w:tcPr>
                  <w:tcW w:w="946" w:type="dxa"/>
                  <w:vMerge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6F6A0A" w:rsidRPr="00E14DE1" w:rsidRDefault="006F6A0A" w:rsidP="00CD609C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E14DE1">
                    <w:rPr>
                      <w:rFonts w:asciiTheme="minorBidi" w:hAnsiTheme="minorBidi"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892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99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26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 ها وعلائم هشداربعددیالیز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رژیم غذایی</w:t>
                  </w:r>
                </w:p>
              </w:tc>
              <w:tc>
                <w:tcPr>
                  <w:tcW w:w="1440" w:type="dxa"/>
                  <w:vAlign w:val="center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14DE1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اقدامات تشخیصی مانند:سونوگرافی</w:t>
                  </w:r>
                </w:p>
              </w:tc>
              <w:tc>
                <w:tcPr>
                  <w:tcW w:w="990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مراقبتها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پس از ترخ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</w:p>
              </w:tc>
              <w:tc>
                <w:tcPr>
                  <w:tcW w:w="1005" w:type="dxa"/>
                </w:tcPr>
                <w:p w:rsidR="006F6A0A" w:rsidRPr="00E14DE1" w:rsidRDefault="006F6A0A" w:rsidP="00CD609C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مراقبتها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پس از ترخ</w:t>
                  </w:r>
                  <w:r w:rsidRPr="006F6A0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F6A0A">
                    <w:rPr>
                      <w:rFonts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6F6A0A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ومراجعه مجدد</w:t>
                  </w:r>
                </w:p>
              </w:tc>
            </w:tr>
          </w:tbl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DC33C9" w:rsidRPr="00E14DE1" w:rsidRDefault="00DC33C9" w:rsidP="006F6A0A">
            <w:pPr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</w:tr>
      <w:tr w:rsidR="000964E5" w:rsidRPr="00E14DE1" w:rsidTr="00293E55">
        <w:trPr>
          <w:trHeight w:val="284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E14DE1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lastRenderedPageBreak/>
              <w:t>مصوبات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E14DE1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مسئول اجرا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E14DE1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مسئول پیگیری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</w:tcPr>
          <w:p w:rsidR="000964E5" w:rsidRPr="00E14DE1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مهلت اجرا</w:t>
            </w:r>
          </w:p>
        </w:tc>
      </w:tr>
      <w:tr w:rsidR="000964E5" w:rsidRPr="00E14DE1" w:rsidTr="00293E55">
        <w:trPr>
          <w:trHeight w:val="145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1C3EE5" w:rsidP="00293E5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نظارت ویژه</w:t>
            </w:r>
            <w:r w:rsidR="00293E55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 برآموزشهای حین</w:t>
            </w:r>
            <w:r w:rsidR="001E62FD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 بستری و</w:t>
            </w:r>
            <w:r w:rsidR="00293E55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 ترخیص وارائه گزارش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293E55" w:rsidP="001E62FD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خانم </w:t>
            </w:r>
            <w:r w:rsidR="001E62FD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6237DC" w:rsidP="006C1F76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خانم </w:t>
            </w:r>
            <w:r w:rsidR="006C1F76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64E5" w:rsidRPr="00E14DE1" w:rsidRDefault="006F6A0A" w:rsidP="000964E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 w:hint="cs"/>
                <w:sz w:val="18"/>
                <w:szCs w:val="18"/>
                <w:rtl/>
              </w:rPr>
              <w:t>مداوم</w:t>
            </w:r>
          </w:p>
        </w:tc>
      </w:tr>
      <w:tr w:rsidR="000964E5" w:rsidRPr="00E14DE1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6C1F76" w:rsidP="000964E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ارائه آموزش </w:t>
            </w:r>
            <w:r w:rsidR="00F552E5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های گروهی در کنار آموزش های فردی بارعایت فاصله اجتماعی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6C1F76" w:rsidP="0008541A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خانم </w:t>
            </w:r>
            <w:r w:rsidR="0008541A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E14DE1" w:rsidRDefault="006237DC" w:rsidP="006C1F76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خانم </w:t>
            </w:r>
            <w:r w:rsidR="006C1F76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64E5" w:rsidRPr="00E14DE1" w:rsidRDefault="000964E5" w:rsidP="000964E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</w:tr>
      <w:tr w:rsidR="00314A63" w:rsidRPr="00E14DE1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14A63" w:rsidRPr="00E14DE1" w:rsidRDefault="00314A63" w:rsidP="00314A63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گزارش دهی به موقع مشاوره های روان و نمودار رشد کودکان براساس مشاوره های تغذیه به اساتید  به صورت ماهیانه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63" w:rsidRPr="00E14DE1" w:rsidRDefault="00314A63" w:rsidP="00314A63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خانم 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63" w:rsidRPr="00E14DE1" w:rsidRDefault="00314A63" w:rsidP="00314A63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خانم 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4A63" w:rsidRPr="00E14DE1" w:rsidRDefault="00314A63" w:rsidP="00314A63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</w:tr>
      <w:tr w:rsidR="00293E55" w:rsidRPr="00E14DE1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93E55" w:rsidRPr="00E14DE1" w:rsidRDefault="00293E55" w:rsidP="000964E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بررسی اثربخشی آموزشی در درمانگاه</w:t>
            </w:r>
            <w:r w:rsidR="001E62FD"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 وبخش(تغذیه-روانشناسی)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Pr="00E14DE1" w:rsidRDefault="001456C7" w:rsidP="00C30A56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خانم 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Pr="00E14DE1" w:rsidRDefault="00293E55" w:rsidP="005C67BB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E14DE1">
              <w:rPr>
                <w:rFonts w:ascii="Calibri" w:eastAsia="Calibri" w:hAnsi="Calibri" w:cs="B Mitra" w:hint="cs"/>
                <w:sz w:val="18"/>
                <w:szCs w:val="18"/>
                <w:rtl/>
              </w:rPr>
              <w:t>خانم 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3E55" w:rsidRPr="00E14DE1" w:rsidRDefault="00293E55" w:rsidP="000964E5">
            <w:pPr>
              <w:widowControl w:val="0"/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</w:tr>
      <w:tr w:rsidR="000964E5" w:rsidRPr="00E14DE1" w:rsidTr="00474270">
        <w:trPr>
          <w:trHeight w:val="565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964E5" w:rsidRPr="00E14DE1" w:rsidRDefault="000964E5" w:rsidP="000964E5">
            <w:pPr>
              <w:bidi/>
              <w:rPr>
                <w:rFonts w:ascii="Calibri" w:eastAsia="Calibri" w:hAnsi="Calibri" w:cs="B Zar"/>
                <w:b/>
                <w:bCs/>
                <w:sz w:val="14"/>
                <w:szCs w:val="14"/>
                <w:rtl/>
              </w:rPr>
            </w:pPr>
            <w:r w:rsidRPr="00E14DE1">
              <w:rPr>
                <w:rFonts w:ascii="Calibri" w:eastAsia="Calibri" w:hAnsi="Calibri" w:cs="B Zar" w:hint="cs"/>
                <w:b/>
                <w:bCs/>
                <w:sz w:val="14"/>
                <w:szCs w:val="14"/>
                <w:rtl/>
              </w:rPr>
              <w:t>امضاء حاضرين :</w:t>
            </w:r>
          </w:p>
        </w:tc>
      </w:tr>
      <w:tr w:rsidR="00A85FAF" w:rsidRPr="00E14DE1" w:rsidTr="00474270">
        <w:trPr>
          <w:cantSplit/>
          <w:trHeight w:val="1182"/>
          <w:jc w:val="center"/>
        </w:trPr>
        <w:tc>
          <w:tcPr>
            <w:tcW w:w="1573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A85FAF" w:rsidP="001456C7">
            <w:pPr>
              <w:spacing w:line="276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 xml:space="preserve">آقای </w:t>
            </w:r>
            <w:r w:rsidR="001456C7" w:rsidRPr="00E14DE1">
              <w:rPr>
                <w:rFonts w:cs="B Mitra" w:hint="cs"/>
                <w:sz w:val="12"/>
                <w:szCs w:val="12"/>
                <w:rtl/>
              </w:rPr>
              <w:t>دکترآذرفر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D4769D" w:rsidP="001E0738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 xml:space="preserve">آقای </w:t>
            </w:r>
            <w:r w:rsidR="001E0738" w:rsidRPr="00E14DE1">
              <w:rPr>
                <w:rFonts w:cs="B Mitra" w:hint="cs"/>
                <w:sz w:val="12"/>
                <w:szCs w:val="12"/>
                <w:rtl/>
              </w:rPr>
              <w:t>دکترسروری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1E0738" w:rsidP="001E0738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>آقای مالک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9D46F3" w:rsidP="009D46F3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>خانم رضایی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1E0738" w:rsidP="001E0738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>خانم  مهذب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E14DE1" w:rsidRDefault="001E0738" w:rsidP="001456C7">
            <w:pPr>
              <w:jc w:val="center"/>
              <w:rPr>
                <w:rFonts w:cs="B Mitra"/>
                <w:sz w:val="12"/>
                <w:szCs w:val="12"/>
                <w:rtl/>
              </w:rPr>
            </w:pPr>
            <w:r w:rsidRPr="00E14DE1">
              <w:rPr>
                <w:rFonts w:cs="B Mitra" w:hint="cs"/>
                <w:sz w:val="12"/>
                <w:szCs w:val="12"/>
                <w:rtl/>
              </w:rPr>
              <w:t>خانم  غنی آبادی</w:t>
            </w:r>
          </w:p>
        </w:tc>
        <w:tc>
          <w:tcPr>
            <w:tcW w:w="14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5FAF" w:rsidRPr="00E14DE1" w:rsidRDefault="00A85FAF" w:rsidP="001E0738">
            <w:pPr>
              <w:rPr>
                <w:rFonts w:cs="B Mitra"/>
                <w:sz w:val="12"/>
                <w:szCs w:val="12"/>
                <w:rtl/>
              </w:rPr>
            </w:pPr>
          </w:p>
        </w:tc>
      </w:tr>
    </w:tbl>
    <w:p w:rsidR="000964E5" w:rsidRPr="00E14DE1" w:rsidRDefault="000964E5" w:rsidP="000964E5">
      <w:pPr>
        <w:bidi/>
        <w:rPr>
          <w:rFonts w:ascii="Calibri" w:eastAsia="Calibri" w:hAnsi="Calibri" w:cs="Arial"/>
          <w:sz w:val="14"/>
          <w:szCs w:val="14"/>
          <w:lang w:bidi="fa-IR"/>
        </w:rPr>
      </w:pPr>
    </w:p>
    <w:p w:rsidR="000964E5" w:rsidRPr="00E14DE1" w:rsidRDefault="000964E5" w:rsidP="000964E5">
      <w:pPr>
        <w:bidi/>
        <w:rPr>
          <w:rFonts w:ascii="Calibri" w:eastAsia="Calibri" w:hAnsi="Calibri" w:cs="Arial"/>
          <w:sz w:val="14"/>
          <w:szCs w:val="14"/>
          <w:lang w:bidi="fa-IR"/>
        </w:rPr>
      </w:pPr>
    </w:p>
    <w:p w:rsidR="00E14DE1" w:rsidRPr="00E14DE1" w:rsidRDefault="00E14DE1">
      <w:pPr>
        <w:bidi/>
        <w:rPr>
          <w:rFonts w:ascii="Calibri" w:eastAsia="Calibri" w:hAnsi="Calibri" w:cs="Arial"/>
          <w:sz w:val="14"/>
          <w:szCs w:val="14"/>
          <w:lang w:bidi="fa-IR"/>
        </w:rPr>
      </w:pPr>
    </w:p>
    <w:sectPr w:rsidR="00E14DE1" w:rsidRPr="00E14DE1" w:rsidSect="001B554F">
      <w:pgSz w:w="11906" w:h="16838"/>
      <w:pgMar w:top="567" w:right="680" w:bottom="142" w:left="680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4E5"/>
    <w:rsid w:val="0000538C"/>
    <w:rsid w:val="00050F4B"/>
    <w:rsid w:val="0006735D"/>
    <w:rsid w:val="0008541A"/>
    <w:rsid w:val="000964E5"/>
    <w:rsid w:val="000E66E6"/>
    <w:rsid w:val="001456C7"/>
    <w:rsid w:val="00157652"/>
    <w:rsid w:val="001670B1"/>
    <w:rsid w:val="00186654"/>
    <w:rsid w:val="001B5F72"/>
    <w:rsid w:val="001C3EE5"/>
    <w:rsid w:val="001E0738"/>
    <w:rsid w:val="001E62FD"/>
    <w:rsid w:val="00252AC8"/>
    <w:rsid w:val="00293E55"/>
    <w:rsid w:val="00314A63"/>
    <w:rsid w:val="00334E94"/>
    <w:rsid w:val="00363330"/>
    <w:rsid w:val="003B7F4C"/>
    <w:rsid w:val="00405FAE"/>
    <w:rsid w:val="0043350A"/>
    <w:rsid w:val="004360E2"/>
    <w:rsid w:val="00474270"/>
    <w:rsid w:val="00487FEE"/>
    <w:rsid w:val="005057D2"/>
    <w:rsid w:val="00530A28"/>
    <w:rsid w:val="005A772D"/>
    <w:rsid w:val="006237DC"/>
    <w:rsid w:val="006405BB"/>
    <w:rsid w:val="00653084"/>
    <w:rsid w:val="006C1F76"/>
    <w:rsid w:val="006C74FD"/>
    <w:rsid w:val="006C7D1C"/>
    <w:rsid w:val="006F6A0A"/>
    <w:rsid w:val="007077EB"/>
    <w:rsid w:val="00744931"/>
    <w:rsid w:val="008941E6"/>
    <w:rsid w:val="009028C9"/>
    <w:rsid w:val="0099461E"/>
    <w:rsid w:val="009B4185"/>
    <w:rsid w:val="009C3772"/>
    <w:rsid w:val="009C7D29"/>
    <w:rsid w:val="009D46F3"/>
    <w:rsid w:val="00A0658F"/>
    <w:rsid w:val="00A3652D"/>
    <w:rsid w:val="00A5090A"/>
    <w:rsid w:val="00A85FAF"/>
    <w:rsid w:val="00AA4CCF"/>
    <w:rsid w:val="00AE3FFA"/>
    <w:rsid w:val="00BE350D"/>
    <w:rsid w:val="00BF6292"/>
    <w:rsid w:val="00C30A56"/>
    <w:rsid w:val="00CC21AE"/>
    <w:rsid w:val="00CD1C07"/>
    <w:rsid w:val="00CD609C"/>
    <w:rsid w:val="00D000F9"/>
    <w:rsid w:val="00D0683D"/>
    <w:rsid w:val="00D4769D"/>
    <w:rsid w:val="00D53AD1"/>
    <w:rsid w:val="00DC33C9"/>
    <w:rsid w:val="00E14DE1"/>
    <w:rsid w:val="00E72AAB"/>
    <w:rsid w:val="00ED2D16"/>
    <w:rsid w:val="00ED6C3D"/>
    <w:rsid w:val="00F37720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E23E"/>
  <w15:docId w15:val="{62E2571E-AEE9-45DA-A333-FF3AE85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964E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Akram Sazvar</cp:lastModifiedBy>
  <cp:revision>48</cp:revision>
  <cp:lastPrinted>2017-02-14T05:22:00Z</cp:lastPrinted>
  <dcterms:created xsi:type="dcterms:W3CDTF">2016-04-24T17:46:00Z</dcterms:created>
  <dcterms:modified xsi:type="dcterms:W3CDTF">2021-12-03T15:01:00Z</dcterms:modified>
</cp:coreProperties>
</file>